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24" w:rsidRPr="00362E82" w:rsidRDefault="00E71224" w:rsidP="0036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62E82">
        <w:rPr>
          <w:rFonts w:ascii="Times New Roman" w:hAnsi="Times New Roman" w:cs="Times New Roman"/>
          <w:sz w:val="20"/>
          <w:szCs w:val="20"/>
          <w:u w:val="single"/>
        </w:rPr>
        <w:t>MARKET DESIGN REPORT SUMMARY</w:t>
      </w:r>
    </w:p>
    <w:p w:rsidR="00E71224" w:rsidRPr="00362E82" w:rsidRDefault="00E71224" w:rsidP="00E7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100" w:rsidRPr="00362E82" w:rsidRDefault="00826100" w:rsidP="00E7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E82">
        <w:rPr>
          <w:rFonts w:ascii="Times New Roman" w:hAnsi="Times New Roman" w:cs="Times New Roman"/>
          <w:sz w:val="20"/>
          <w:szCs w:val="20"/>
        </w:rPr>
        <w:t xml:space="preserve">With support from the </w:t>
      </w:r>
      <w:r w:rsidRPr="00362E82">
        <w:rPr>
          <w:rFonts w:ascii="Times New Roman" w:hAnsi="Times New Roman" w:cs="Times New Roman"/>
          <w:b/>
          <w:sz w:val="20"/>
          <w:szCs w:val="20"/>
        </w:rPr>
        <w:t>African Development Bank</w:t>
      </w:r>
      <w:r w:rsidRPr="00362E8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62E82">
        <w:rPr>
          <w:rFonts w:ascii="Times New Roman" w:hAnsi="Times New Roman" w:cs="Times New Roman"/>
          <w:sz w:val="20"/>
          <w:szCs w:val="20"/>
        </w:rPr>
        <w:t>AfDB</w:t>
      </w:r>
      <w:proofErr w:type="spellEnd"/>
      <w:r w:rsidRPr="00362E82">
        <w:rPr>
          <w:rFonts w:ascii="Times New Roman" w:hAnsi="Times New Roman" w:cs="Times New Roman"/>
          <w:sz w:val="20"/>
          <w:szCs w:val="20"/>
        </w:rPr>
        <w:t xml:space="preserve">), </w:t>
      </w:r>
      <w:r w:rsidRPr="00362E82">
        <w:rPr>
          <w:rFonts w:ascii="Times New Roman" w:hAnsi="Times New Roman" w:cs="Times New Roman"/>
          <w:b/>
          <w:sz w:val="20"/>
          <w:szCs w:val="20"/>
        </w:rPr>
        <w:t>Government of Uganda</w:t>
      </w:r>
    </w:p>
    <w:p w:rsidR="00826100" w:rsidRPr="00362E82" w:rsidRDefault="00826100" w:rsidP="00E7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2E8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62E82">
        <w:rPr>
          <w:rFonts w:ascii="Times New Roman" w:hAnsi="Times New Roman" w:cs="Times New Roman"/>
          <w:sz w:val="20"/>
          <w:szCs w:val="20"/>
        </w:rPr>
        <w:t>GoU</w:t>
      </w:r>
      <w:proofErr w:type="spellEnd"/>
      <w:r w:rsidRPr="00362E82">
        <w:rPr>
          <w:rFonts w:ascii="Times New Roman" w:hAnsi="Times New Roman" w:cs="Times New Roman"/>
          <w:sz w:val="20"/>
          <w:szCs w:val="20"/>
        </w:rPr>
        <w:t xml:space="preserve">) through the </w:t>
      </w:r>
      <w:r w:rsidRPr="00362E82">
        <w:rPr>
          <w:rFonts w:ascii="Times New Roman" w:hAnsi="Times New Roman" w:cs="Times New Roman"/>
          <w:b/>
          <w:sz w:val="20"/>
          <w:szCs w:val="20"/>
        </w:rPr>
        <w:t>Ministry of Local Government</w:t>
      </w:r>
      <w:r w:rsidRPr="00362E8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62E82">
        <w:rPr>
          <w:rFonts w:ascii="Times New Roman" w:hAnsi="Times New Roman" w:cs="Times New Roman"/>
          <w:sz w:val="20"/>
          <w:szCs w:val="20"/>
        </w:rPr>
        <w:t>MoLG</w:t>
      </w:r>
      <w:proofErr w:type="spellEnd"/>
      <w:r w:rsidRPr="00362E82">
        <w:rPr>
          <w:rFonts w:ascii="Times New Roman" w:hAnsi="Times New Roman" w:cs="Times New Roman"/>
          <w:sz w:val="20"/>
          <w:szCs w:val="20"/>
        </w:rPr>
        <w:t xml:space="preserve">), has undertaken to improve </w:t>
      </w:r>
      <w:proofErr w:type="spellStart"/>
      <w:r w:rsidRPr="00362E82">
        <w:rPr>
          <w:rFonts w:ascii="Times New Roman" w:hAnsi="Times New Roman" w:cs="Times New Roman"/>
          <w:b/>
          <w:sz w:val="20"/>
          <w:szCs w:val="20"/>
        </w:rPr>
        <w:t>Mbale</w:t>
      </w:r>
      <w:proofErr w:type="spellEnd"/>
    </w:p>
    <w:p w:rsidR="00826100" w:rsidRPr="00362E82" w:rsidRDefault="00826100" w:rsidP="00E7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2E82">
        <w:rPr>
          <w:rFonts w:ascii="Times New Roman" w:hAnsi="Times New Roman" w:cs="Times New Roman"/>
          <w:b/>
          <w:sz w:val="20"/>
          <w:szCs w:val="20"/>
        </w:rPr>
        <w:t>Central Market.</w:t>
      </w:r>
      <w:proofErr w:type="gramEnd"/>
      <w:r w:rsidRPr="00362E82">
        <w:rPr>
          <w:rFonts w:ascii="Times New Roman" w:hAnsi="Times New Roman" w:cs="Times New Roman"/>
          <w:sz w:val="20"/>
          <w:szCs w:val="20"/>
        </w:rPr>
        <w:t xml:space="preserve"> The reconstructed market will provide better facilities and much improved</w:t>
      </w:r>
    </w:p>
    <w:p w:rsidR="00826100" w:rsidRPr="00362E82" w:rsidRDefault="00826100" w:rsidP="00E7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2E82">
        <w:rPr>
          <w:rFonts w:ascii="Times New Roman" w:hAnsi="Times New Roman" w:cs="Times New Roman"/>
          <w:sz w:val="20"/>
          <w:szCs w:val="20"/>
        </w:rPr>
        <w:t>trading</w:t>
      </w:r>
      <w:proofErr w:type="gramEnd"/>
      <w:r w:rsidRPr="00362E82">
        <w:rPr>
          <w:rFonts w:ascii="Times New Roman" w:hAnsi="Times New Roman" w:cs="Times New Roman"/>
          <w:sz w:val="20"/>
          <w:szCs w:val="20"/>
        </w:rPr>
        <w:t xml:space="preserve"> conditions. This is expected to stimulate and increase trade opportunities between rural</w:t>
      </w:r>
    </w:p>
    <w:p w:rsidR="00826100" w:rsidRPr="00362E82" w:rsidRDefault="00826100" w:rsidP="00E7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2E82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362E82">
        <w:rPr>
          <w:rFonts w:ascii="Times New Roman" w:hAnsi="Times New Roman" w:cs="Times New Roman"/>
          <w:sz w:val="20"/>
          <w:szCs w:val="20"/>
        </w:rPr>
        <w:t xml:space="preserve"> urban agricultural markets and serve as a wholesale centre for rural-urban and regional</w:t>
      </w:r>
    </w:p>
    <w:p w:rsidR="00826100" w:rsidRPr="00362E82" w:rsidRDefault="00826100" w:rsidP="00E7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2E82">
        <w:rPr>
          <w:rFonts w:ascii="Times New Roman" w:hAnsi="Times New Roman" w:cs="Times New Roman"/>
          <w:sz w:val="20"/>
          <w:szCs w:val="20"/>
        </w:rPr>
        <w:t>trade</w:t>
      </w:r>
      <w:proofErr w:type="gramEnd"/>
      <w:r w:rsidRPr="00362E82">
        <w:rPr>
          <w:rFonts w:ascii="Times New Roman" w:hAnsi="Times New Roman" w:cs="Times New Roman"/>
          <w:sz w:val="20"/>
          <w:szCs w:val="20"/>
        </w:rPr>
        <w:t>, particularly for agricultural commodities.</w:t>
      </w:r>
    </w:p>
    <w:p w:rsidR="00362E82" w:rsidRDefault="00362E82" w:rsidP="00E7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100" w:rsidRPr="00362E82" w:rsidRDefault="00826100" w:rsidP="00E7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E82">
        <w:rPr>
          <w:rFonts w:ascii="Times New Roman" w:hAnsi="Times New Roman" w:cs="Times New Roman"/>
          <w:sz w:val="20"/>
          <w:szCs w:val="20"/>
        </w:rPr>
        <w:t xml:space="preserve">The main economic activity for 83% of the households in </w:t>
      </w:r>
      <w:proofErr w:type="spellStart"/>
      <w:r w:rsidRPr="00362E82">
        <w:rPr>
          <w:rFonts w:ascii="Times New Roman" w:hAnsi="Times New Roman" w:cs="Times New Roman"/>
          <w:sz w:val="20"/>
          <w:szCs w:val="20"/>
        </w:rPr>
        <w:t>Mbale</w:t>
      </w:r>
      <w:proofErr w:type="spellEnd"/>
      <w:r w:rsidRPr="00362E82">
        <w:rPr>
          <w:rFonts w:ascii="Times New Roman" w:hAnsi="Times New Roman" w:cs="Times New Roman"/>
          <w:sz w:val="20"/>
          <w:szCs w:val="20"/>
        </w:rPr>
        <w:t xml:space="preserve"> District is </w:t>
      </w:r>
      <w:r w:rsidRPr="00362E82">
        <w:rPr>
          <w:rFonts w:ascii="Times New Roman" w:hAnsi="Times New Roman" w:cs="Times New Roman"/>
          <w:b/>
          <w:sz w:val="20"/>
          <w:szCs w:val="20"/>
        </w:rPr>
        <w:t>agriculture</w:t>
      </w:r>
      <w:r w:rsidRPr="00362E82">
        <w:rPr>
          <w:rFonts w:ascii="Times New Roman" w:hAnsi="Times New Roman" w:cs="Times New Roman"/>
          <w:sz w:val="20"/>
          <w:szCs w:val="20"/>
        </w:rPr>
        <w:t>. Activities</w:t>
      </w:r>
    </w:p>
    <w:p w:rsidR="00826100" w:rsidRPr="00362E82" w:rsidRDefault="00826100" w:rsidP="00362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2E82">
        <w:rPr>
          <w:rFonts w:ascii="Times New Roman" w:hAnsi="Times New Roman" w:cs="Times New Roman"/>
          <w:sz w:val="20"/>
          <w:szCs w:val="20"/>
        </w:rPr>
        <w:t>include</w:t>
      </w:r>
      <w:proofErr w:type="gramEnd"/>
      <w:r w:rsidRPr="00362E82">
        <w:rPr>
          <w:rFonts w:ascii="Times New Roman" w:hAnsi="Times New Roman" w:cs="Times New Roman"/>
          <w:sz w:val="20"/>
          <w:szCs w:val="20"/>
        </w:rPr>
        <w:t xml:space="preserve"> crop farming, animal rearing and trading in agricultural produce.</w:t>
      </w:r>
      <w:r w:rsidR="00362E82" w:rsidRPr="00362E82">
        <w:rPr>
          <w:rFonts w:ascii="Times New Roman" w:hAnsi="Times New Roman" w:cs="Times New Roman"/>
          <w:sz w:val="20"/>
          <w:szCs w:val="20"/>
        </w:rPr>
        <w:t xml:space="preserve"> </w:t>
      </w:r>
      <w:r w:rsidRPr="00362E82">
        <w:rPr>
          <w:rFonts w:ascii="Times New Roman" w:hAnsi="Times New Roman" w:cs="Times New Roman"/>
          <w:sz w:val="20"/>
          <w:szCs w:val="20"/>
        </w:rPr>
        <w:t xml:space="preserve">Crops are grown for both food and cash. </w:t>
      </w:r>
      <w:r w:rsidR="00362E82" w:rsidRPr="00362E82">
        <w:rPr>
          <w:rFonts w:ascii="Times New Roman" w:hAnsi="Times New Roman" w:cs="Times New Roman"/>
          <w:sz w:val="20"/>
          <w:szCs w:val="20"/>
        </w:rPr>
        <w:t xml:space="preserve"> </w:t>
      </w:r>
      <w:r w:rsidRPr="00362E82">
        <w:rPr>
          <w:rFonts w:ascii="Times New Roman" w:hAnsi="Times New Roman" w:cs="Times New Roman"/>
          <w:sz w:val="20"/>
          <w:szCs w:val="20"/>
        </w:rPr>
        <w:t xml:space="preserve">The reconstruction of </w:t>
      </w:r>
      <w:proofErr w:type="spellStart"/>
      <w:r w:rsidRPr="00362E82">
        <w:rPr>
          <w:rFonts w:ascii="Times New Roman" w:hAnsi="Times New Roman" w:cs="Times New Roman"/>
          <w:sz w:val="20"/>
          <w:szCs w:val="20"/>
        </w:rPr>
        <w:t>Mbale</w:t>
      </w:r>
      <w:proofErr w:type="spellEnd"/>
      <w:r w:rsidRPr="00362E82">
        <w:rPr>
          <w:rFonts w:ascii="Times New Roman" w:hAnsi="Times New Roman" w:cs="Times New Roman"/>
          <w:sz w:val="20"/>
          <w:szCs w:val="20"/>
        </w:rPr>
        <w:t xml:space="preserve"> Central</w:t>
      </w:r>
      <w:r w:rsidR="00362E82" w:rsidRPr="00362E82">
        <w:rPr>
          <w:rFonts w:ascii="Times New Roman" w:hAnsi="Times New Roman" w:cs="Times New Roman"/>
          <w:sz w:val="20"/>
          <w:szCs w:val="20"/>
        </w:rPr>
        <w:t xml:space="preserve"> </w:t>
      </w:r>
      <w:r w:rsidRPr="00362E82">
        <w:rPr>
          <w:rFonts w:ascii="Times New Roman" w:hAnsi="Times New Roman" w:cs="Times New Roman"/>
          <w:sz w:val="20"/>
          <w:szCs w:val="20"/>
        </w:rPr>
        <w:t>Market has significant potential to catalyze development and economic growth in the town in the</w:t>
      </w:r>
      <w:r w:rsidR="00362E82" w:rsidRPr="00362E82">
        <w:rPr>
          <w:rFonts w:ascii="Times New Roman" w:hAnsi="Times New Roman" w:cs="Times New Roman"/>
          <w:sz w:val="20"/>
          <w:szCs w:val="20"/>
        </w:rPr>
        <w:t xml:space="preserve"> </w:t>
      </w:r>
      <w:r w:rsidRPr="00362E82">
        <w:rPr>
          <w:rFonts w:ascii="Times New Roman" w:hAnsi="Times New Roman" w:cs="Times New Roman"/>
          <w:sz w:val="20"/>
          <w:szCs w:val="20"/>
        </w:rPr>
        <w:t>short to medium term. Reconstruction of the market is appropriate and relevant</w:t>
      </w:r>
      <w:r w:rsidR="00362E82" w:rsidRPr="00362E82">
        <w:rPr>
          <w:rFonts w:ascii="Times New Roman" w:hAnsi="Times New Roman" w:cs="Times New Roman"/>
          <w:sz w:val="20"/>
          <w:szCs w:val="20"/>
        </w:rPr>
        <w:t>.</w:t>
      </w:r>
    </w:p>
    <w:p w:rsidR="00362E82" w:rsidRPr="00362E82" w:rsidRDefault="00362E82" w:rsidP="00362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100" w:rsidRPr="00362E82" w:rsidRDefault="00826100" w:rsidP="00E7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E82">
        <w:rPr>
          <w:rFonts w:ascii="Times New Roman" w:hAnsi="Times New Roman" w:cs="Times New Roman"/>
          <w:sz w:val="20"/>
          <w:szCs w:val="20"/>
        </w:rPr>
        <w:t xml:space="preserve">A </w:t>
      </w:r>
      <w:r w:rsidRPr="00362E82">
        <w:rPr>
          <w:rFonts w:ascii="Times New Roman" w:hAnsi="Times New Roman" w:cs="Times New Roman"/>
          <w:b/>
          <w:sz w:val="20"/>
          <w:szCs w:val="20"/>
        </w:rPr>
        <w:t>needs assessment survey</w:t>
      </w:r>
      <w:r w:rsidRPr="00362E82">
        <w:rPr>
          <w:rFonts w:ascii="Times New Roman" w:hAnsi="Times New Roman" w:cs="Times New Roman"/>
          <w:sz w:val="20"/>
          <w:szCs w:val="20"/>
        </w:rPr>
        <w:t xml:space="preserve"> was carried out to inform design. The purpose was to</w:t>
      </w:r>
    </w:p>
    <w:p w:rsidR="00826100" w:rsidRPr="00362E82" w:rsidRDefault="00826100" w:rsidP="00E7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2E82">
        <w:rPr>
          <w:rFonts w:ascii="Times New Roman" w:hAnsi="Times New Roman" w:cs="Times New Roman"/>
          <w:sz w:val="20"/>
          <w:szCs w:val="20"/>
        </w:rPr>
        <w:t>identify</w:t>
      </w:r>
      <w:proofErr w:type="gramEnd"/>
      <w:r w:rsidRPr="00362E82">
        <w:rPr>
          <w:rFonts w:ascii="Times New Roman" w:hAnsi="Times New Roman" w:cs="Times New Roman"/>
          <w:sz w:val="20"/>
          <w:szCs w:val="20"/>
        </w:rPr>
        <w:t xml:space="preserve"> and record the stakeholder’s needs that would form the basis for the development of the</w:t>
      </w:r>
    </w:p>
    <w:p w:rsidR="00826100" w:rsidRDefault="00826100" w:rsidP="00E7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2E82">
        <w:rPr>
          <w:rFonts w:ascii="Times New Roman" w:hAnsi="Times New Roman" w:cs="Times New Roman"/>
          <w:sz w:val="20"/>
          <w:szCs w:val="20"/>
        </w:rPr>
        <w:t>market</w:t>
      </w:r>
      <w:proofErr w:type="gramEnd"/>
      <w:r w:rsidRPr="00362E82">
        <w:rPr>
          <w:rFonts w:ascii="Times New Roman" w:hAnsi="Times New Roman" w:cs="Times New Roman"/>
          <w:sz w:val="20"/>
          <w:szCs w:val="20"/>
        </w:rPr>
        <w:t>.</w:t>
      </w:r>
    </w:p>
    <w:p w:rsidR="00362E82" w:rsidRPr="00362E82" w:rsidRDefault="00362E82" w:rsidP="00E7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100" w:rsidRPr="00362E82" w:rsidRDefault="00826100" w:rsidP="00E7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2E82">
        <w:rPr>
          <w:rFonts w:ascii="Times New Roman" w:hAnsi="Times New Roman" w:cs="Times New Roman"/>
          <w:b/>
          <w:sz w:val="20"/>
          <w:szCs w:val="20"/>
        </w:rPr>
        <w:t>The New Market will address the following:</w:t>
      </w:r>
    </w:p>
    <w:p w:rsidR="00362E82" w:rsidRPr="00362E82" w:rsidRDefault="00362E82" w:rsidP="00E7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2E82" w:rsidRDefault="00826100" w:rsidP="00362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2E82">
        <w:rPr>
          <w:rFonts w:ascii="Times New Roman" w:hAnsi="Times New Roman" w:cs="Times New Roman"/>
          <w:color w:val="000000"/>
          <w:sz w:val="20"/>
          <w:szCs w:val="20"/>
        </w:rPr>
        <w:t xml:space="preserve">Poor drainage and sanitation </w:t>
      </w:r>
      <w:r w:rsidR="00362E82">
        <w:rPr>
          <w:rFonts w:ascii="Times New Roman" w:hAnsi="Times New Roman" w:cs="Times New Roman"/>
          <w:color w:val="000000"/>
          <w:sz w:val="20"/>
          <w:szCs w:val="20"/>
        </w:rPr>
        <w:t>will</w:t>
      </w:r>
      <w:r w:rsidRPr="00362E82">
        <w:rPr>
          <w:rFonts w:ascii="Times New Roman" w:hAnsi="Times New Roman" w:cs="Times New Roman"/>
          <w:color w:val="000000"/>
          <w:sz w:val="20"/>
          <w:szCs w:val="20"/>
        </w:rPr>
        <w:t xml:space="preserve"> be rectified. </w:t>
      </w:r>
    </w:p>
    <w:p w:rsidR="00826100" w:rsidRPr="00362E82" w:rsidRDefault="00362E82" w:rsidP="00362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It will p</w:t>
      </w:r>
      <w:r w:rsidR="00826100" w:rsidRPr="00362E82">
        <w:rPr>
          <w:rFonts w:ascii="Times New Roman" w:hAnsi="Times New Roman" w:cs="Times New Roman"/>
          <w:color w:val="000000"/>
          <w:sz w:val="20"/>
          <w:szCs w:val="20"/>
        </w:rPr>
        <w:t>rovide for garbage disposal banks.</w:t>
      </w:r>
    </w:p>
    <w:p w:rsidR="00826100" w:rsidRPr="00362E82" w:rsidRDefault="00826100" w:rsidP="00362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2E82">
        <w:rPr>
          <w:rFonts w:ascii="Times New Roman" w:hAnsi="Times New Roman" w:cs="Times New Roman"/>
          <w:color w:val="000000"/>
          <w:sz w:val="20"/>
          <w:szCs w:val="20"/>
        </w:rPr>
        <w:t xml:space="preserve">Toilets </w:t>
      </w:r>
      <w:r w:rsidR="00362E82">
        <w:rPr>
          <w:rFonts w:ascii="Times New Roman" w:hAnsi="Times New Roman" w:cs="Times New Roman"/>
          <w:color w:val="000000"/>
          <w:sz w:val="20"/>
          <w:szCs w:val="20"/>
        </w:rPr>
        <w:t>will</w:t>
      </w:r>
      <w:r w:rsidRPr="00362E82">
        <w:rPr>
          <w:rFonts w:ascii="Times New Roman" w:hAnsi="Times New Roman" w:cs="Times New Roman"/>
          <w:color w:val="000000"/>
          <w:sz w:val="20"/>
          <w:szCs w:val="20"/>
        </w:rPr>
        <w:t xml:space="preserve"> be constructed outside the market as well as inside to avoid congestion</w:t>
      </w:r>
    </w:p>
    <w:p w:rsidR="00362E82" w:rsidRDefault="00826100" w:rsidP="00362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2E82">
        <w:rPr>
          <w:rFonts w:ascii="Times New Roman" w:hAnsi="Times New Roman" w:cs="Times New Roman"/>
          <w:color w:val="000000"/>
          <w:sz w:val="20"/>
          <w:szCs w:val="20"/>
        </w:rPr>
        <w:t xml:space="preserve">The new structure </w:t>
      </w:r>
      <w:r w:rsidR="00362E82">
        <w:rPr>
          <w:rFonts w:ascii="Times New Roman" w:hAnsi="Times New Roman" w:cs="Times New Roman"/>
          <w:color w:val="000000"/>
          <w:sz w:val="20"/>
          <w:szCs w:val="20"/>
        </w:rPr>
        <w:t>will</w:t>
      </w:r>
      <w:r w:rsidRPr="00362E82">
        <w:rPr>
          <w:rFonts w:ascii="Times New Roman" w:hAnsi="Times New Roman" w:cs="Times New Roman"/>
          <w:color w:val="000000"/>
          <w:sz w:val="20"/>
          <w:szCs w:val="20"/>
        </w:rPr>
        <w:t xml:space="preserve"> have a very strong foundation and strong basement and two</w:t>
      </w:r>
      <w:r w:rsidR="00362E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62E82">
        <w:rPr>
          <w:rFonts w:ascii="Times New Roman" w:hAnsi="Times New Roman" w:cs="Times New Roman"/>
          <w:color w:val="000000"/>
          <w:sz w:val="20"/>
          <w:szCs w:val="20"/>
        </w:rPr>
        <w:t xml:space="preserve">floors in the first phase then the rest of the floors can be built thereafter. </w:t>
      </w:r>
    </w:p>
    <w:p w:rsidR="00362E82" w:rsidRDefault="00826100" w:rsidP="00362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2E82">
        <w:rPr>
          <w:rFonts w:ascii="Times New Roman" w:hAnsi="Times New Roman" w:cs="Times New Roman"/>
          <w:color w:val="000000"/>
          <w:sz w:val="20"/>
          <w:szCs w:val="20"/>
        </w:rPr>
        <w:t>The basement</w:t>
      </w:r>
      <w:r w:rsidR="00362E82">
        <w:rPr>
          <w:rFonts w:ascii="Times New Roman" w:hAnsi="Times New Roman" w:cs="Times New Roman"/>
          <w:color w:val="000000"/>
          <w:sz w:val="20"/>
          <w:szCs w:val="20"/>
        </w:rPr>
        <w:t xml:space="preserve"> will</w:t>
      </w:r>
      <w:r w:rsidRPr="00362E82">
        <w:rPr>
          <w:rFonts w:ascii="Times New Roman" w:hAnsi="Times New Roman" w:cs="Times New Roman"/>
          <w:color w:val="000000"/>
          <w:sz w:val="20"/>
          <w:szCs w:val="20"/>
        </w:rPr>
        <w:t xml:space="preserve"> provide enough parking for the vendors and customers as well as offloading</w:t>
      </w:r>
      <w:r w:rsidR="00362E82">
        <w:rPr>
          <w:rFonts w:ascii="Times New Roman" w:hAnsi="Times New Roman" w:cs="Times New Roman"/>
          <w:color w:val="000000"/>
          <w:sz w:val="20"/>
          <w:szCs w:val="20"/>
        </w:rPr>
        <w:t xml:space="preserve"> trucks.</w:t>
      </w:r>
    </w:p>
    <w:p w:rsidR="00826100" w:rsidRPr="00362E82" w:rsidRDefault="00362E82" w:rsidP="00362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It will p</w:t>
      </w:r>
      <w:r w:rsidR="00826100" w:rsidRPr="00362E82">
        <w:rPr>
          <w:rFonts w:ascii="Times New Roman" w:hAnsi="Times New Roman" w:cs="Times New Roman"/>
          <w:color w:val="000000"/>
          <w:sz w:val="20"/>
          <w:szCs w:val="20"/>
        </w:rPr>
        <w:t xml:space="preserve">rovide enough parking </w:t>
      </w:r>
      <w:proofErr w:type="gramStart"/>
      <w:r w:rsidR="00826100" w:rsidRPr="00362E82">
        <w:rPr>
          <w:rFonts w:ascii="Times New Roman" w:hAnsi="Times New Roman" w:cs="Times New Roman"/>
          <w:color w:val="000000"/>
          <w:sz w:val="20"/>
          <w:szCs w:val="20"/>
        </w:rPr>
        <w:t>space</w:t>
      </w:r>
      <w:proofErr w:type="gramEnd"/>
      <w:r w:rsidR="00826100" w:rsidRPr="00362E82">
        <w:rPr>
          <w:rFonts w:ascii="Times New Roman" w:hAnsi="Times New Roman" w:cs="Times New Roman"/>
          <w:color w:val="000000"/>
          <w:sz w:val="20"/>
          <w:szCs w:val="20"/>
        </w:rPr>
        <w:t xml:space="preserve"> for the shoppers at the Market Street and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6100" w:rsidRPr="00362E82">
        <w:rPr>
          <w:rFonts w:ascii="Times New Roman" w:hAnsi="Times New Roman" w:cs="Times New Roman"/>
          <w:color w:val="000000"/>
          <w:sz w:val="20"/>
          <w:szCs w:val="20"/>
        </w:rPr>
        <w:t>Cathedral Road.</w:t>
      </w:r>
    </w:p>
    <w:p w:rsidR="00362E82" w:rsidRDefault="00826100" w:rsidP="00362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2E82">
        <w:rPr>
          <w:rFonts w:ascii="Times New Roman" w:hAnsi="Times New Roman" w:cs="Times New Roman"/>
          <w:color w:val="000000"/>
          <w:sz w:val="20"/>
          <w:szCs w:val="20"/>
        </w:rPr>
        <w:t xml:space="preserve">The market </w:t>
      </w:r>
      <w:r w:rsidR="00362E82">
        <w:rPr>
          <w:rFonts w:ascii="Times New Roman" w:hAnsi="Times New Roman" w:cs="Times New Roman"/>
          <w:color w:val="000000"/>
          <w:sz w:val="20"/>
          <w:szCs w:val="20"/>
        </w:rPr>
        <w:t>will</w:t>
      </w:r>
      <w:r w:rsidRPr="00362E82">
        <w:rPr>
          <w:rFonts w:ascii="Times New Roman" w:hAnsi="Times New Roman" w:cs="Times New Roman"/>
          <w:color w:val="000000"/>
          <w:sz w:val="20"/>
          <w:szCs w:val="20"/>
        </w:rPr>
        <w:t xml:space="preserve"> be organized in such a way that specific goods are sold in specific</w:t>
      </w:r>
      <w:r w:rsidR="00362E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62E82">
        <w:rPr>
          <w:rFonts w:ascii="Times New Roman" w:hAnsi="Times New Roman" w:cs="Times New Roman"/>
          <w:color w:val="000000"/>
          <w:sz w:val="20"/>
          <w:szCs w:val="20"/>
        </w:rPr>
        <w:t xml:space="preserve">places. Perishables </w:t>
      </w:r>
      <w:r w:rsidR="00362E82">
        <w:rPr>
          <w:rFonts w:ascii="Times New Roman" w:hAnsi="Times New Roman" w:cs="Times New Roman"/>
          <w:color w:val="000000"/>
          <w:sz w:val="20"/>
          <w:szCs w:val="20"/>
        </w:rPr>
        <w:t>will</w:t>
      </w:r>
      <w:r w:rsidRPr="00362E82">
        <w:rPr>
          <w:rFonts w:ascii="Times New Roman" w:hAnsi="Times New Roman" w:cs="Times New Roman"/>
          <w:color w:val="000000"/>
          <w:sz w:val="20"/>
          <w:szCs w:val="20"/>
        </w:rPr>
        <w:t xml:space="preserve"> be put in their own section. </w:t>
      </w:r>
    </w:p>
    <w:p w:rsidR="00826100" w:rsidRPr="00362E82" w:rsidRDefault="00826100" w:rsidP="00362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2E82">
        <w:rPr>
          <w:rFonts w:ascii="Times New Roman" w:hAnsi="Times New Roman" w:cs="Times New Roman"/>
          <w:color w:val="000000"/>
          <w:sz w:val="20"/>
          <w:szCs w:val="20"/>
        </w:rPr>
        <w:t xml:space="preserve">Appropriate storage facilities </w:t>
      </w:r>
      <w:r w:rsidR="00362E82">
        <w:rPr>
          <w:rFonts w:ascii="Times New Roman" w:hAnsi="Times New Roman" w:cs="Times New Roman"/>
          <w:color w:val="000000"/>
          <w:sz w:val="20"/>
          <w:szCs w:val="20"/>
        </w:rPr>
        <w:t>will</w:t>
      </w:r>
      <w:r w:rsidRPr="00362E82">
        <w:rPr>
          <w:rFonts w:ascii="Times New Roman" w:hAnsi="Times New Roman" w:cs="Times New Roman"/>
          <w:color w:val="000000"/>
          <w:sz w:val="20"/>
          <w:szCs w:val="20"/>
        </w:rPr>
        <w:t xml:space="preserve"> be constructed. </w:t>
      </w:r>
    </w:p>
    <w:p w:rsidR="00BB3E05" w:rsidRDefault="00826100" w:rsidP="00BB3E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2E82">
        <w:rPr>
          <w:rFonts w:ascii="Times New Roman" w:hAnsi="Times New Roman" w:cs="Times New Roman"/>
          <w:color w:val="000000"/>
          <w:sz w:val="20"/>
          <w:szCs w:val="20"/>
        </w:rPr>
        <w:t xml:space="preserve">Space </w:t>
      </w:r>
      <w:r w:rsidR="00BB3E05">
        <w:rPr>
          <w:rFonts w:ascii="Times New Roman" w:hAnsi="Times New Roman" w:cs="Times New Roman"/>
          <w:color w:val="000000"/>
          <w:sz w:val="20"/>
          <w:szCs w:val="20"/>
        </w:rPr>
        <w:t>will</w:t>
      </w:r>
      <w:r w:rsidRPr="00362E82">
        <w:rPr>
          <w:rFonts w:ascii="Times New Roman" w:hAnsi="Times New Roman" w:cs="Times New Roman"/>
          <w:color w:val="000000"/>
          <w:sz w:val="20"/>
          <w:szCs w:val="20"/>
        </w:rPr>
        <w:t xml:space="preserve"> be provided for commercial support</w:t>
      </w:r>
      <w:r w:rsidR="00BB3E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B3E05">
        <w:rPr>
          <w:rFonts w:ascii="Times New Roman" w:hAnsi="Times New Roman" w:cs="Times New Roman"/>
          <w:color w:val="000000"/>
          <w:sz w:val="20"/>
          <w:szCs w:val="20"/>
        </w:rPr>
        <w:t>services including restaurants, hotels, clinics/drug shops, photocopiers, secretarial and</w:t>
      </w:r>
      <w:r w:rsidR="00BB3E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B3E05">
        <w:rPr>
          <w:rFonts w:ascii="Times New Roman" w:hAnsi="Times New Roman" w:cs="Times New Roman"/>
          <w:color w:val="000000"/>
          <w:sz w:val="20"/>
          <w:szCs w:val="20"/>
        </w:rPr>
        <w:t xml:space="preserve">salons. </w:t>
      </w:r>
    </w:p>
    <w:p w:rsidR="00826100" w:rsidRPr="00BB3E05" w:rsidRDefault="00BB3E05" w:rsidP="00BB3E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It will p</w:t>
      </w:r>
      <w:r w:rsidR="00826100" w:rsidRPr="00BB3E05">
        <w:rPr>
          <w:rFonts w:ascii="Times New Roman" w:hAnsi="Times New Roman" w:cs="Times New Roman"/>
          <w:color w:val="000000"/>
          <w:sz w:val="20"/>
          <w:szCs w:val="20"/>
        </w:rPr>
        <w:t>rovide a well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6100" w:rsidRPr="00BB3E05">
        <w:rPr>
          <w:rFonts w:ascii="Times New Roman" w:hAnsi="Times New Roman" w:cs="Times New Roman"/>
          <w:color w:val="000000"/>
          <w:sz w:val="20"/>
          <w:szCs w:val="20"/>
        </w:rPr>
        <w:t>furnished boardroom and an office for the market vendors executive</w:t>
      </w:r>
    </w:p>
    <w:p w:rsidR="00826100" w:rsidRPr="00362E82" w:rsidRDefault="00826100" w:rsidP="00362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2E82">
        <w:rPr>
          <w:rFonts w:ascii="Times New Roman" w:hAnsi="Times New Roman" w:cs="Times New Roman"/>
          <w:color w:val="000000"/>
          <w:sz w:val="20"/>
          <w:szCs w:val="20"/>
        </w:rPr>
        <w:t xml:space="preserve">The market </w:t>
      </w:r>
      <w:r w:rsidR="00BB3E05">
        <w:rPr>
          <w:rFonts w:ascii="Times New Roman" w:hAnsi="Times New Roman" w:cs="Times New Roman"/>
          <w:color w:val="000000"/>
          <w:sz w:val="20"/>
          <w:szCs w:val="20"/>
        </w:rPr>
        <w:t>will</w:t>
      </w:r>
      <w:r w:rsidRPr="00362E82">
        <w:rPr>
          <w:rFonts w:ascii="Times New Roman" w:hAnsi="Times New Roman" w:cs="Times New Roman"/>
          <w:color w:val="000000"/>
          <w:sz w:val="20"/>
          <w:szCs w:val="20"/>
        </w:rPr>
        <w:t xml:space="preserve"> have a well constructed enclosure with large gates at the entrances.</w:t>
      </w:r>
    </w:p>
    <w:p w:rsidR="00826100" w:rsidRPr="00362E82" w:rsidRDefault="00826100" w:rsidP="00362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2E82">
        <w:rPr>
          <w:rFonts w:ascii="Times New Roman" w:hAnsi="Times New Roman" w:cs="Times New Roman"/>
          <w:color w:val="000000"/>
          <w:sz w:val="20"/>
          <w:szCs w:val="20"/>
        </w:rPr>
        <w:t xml:space="preserve">Stalls and lockups </w:t>
      </w:r>
      <w:r w:rsidR="00BB3E05">
        <w:rPr>
          <w:rFonts w:ascii="Times New Roman" w:hAnsi="Times New Roman" w:cs="Times New Roman"/>
          <w:color w:val="000000"/>
          <w:sz w:val="20"/>
          <w:szCs w:val="20"/>
        </w:rPr>
        <w:t>will</w:t>
      </w:r>
      <w:r w:rsidRPr="00362E82">
        <w:rPr>
          <w:rFonts w:ascii="Times New Roman" w:hAnsi="Times New Roman" w:cs="Times New Roman"/>
          <w:color w:val="000000"/>
          <w:sz w:val="20"/>
          <w:szCs w:val="20"/>
        </w:rPr>
        <w:t xml:space="preserve"> be well constructed and in sufficient numbers.</w:t>
      </w:r>
    </w:p>
    <w:p w:rsidR="00826100" w:rsidRPr="00362E82" w:rsidRDefault="00826100" w:rsidP="00362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2E82">
        <w:rPr>
          <w:rFonts w:ascii="Times New Roman" w:hAnsi="Times New Roman" w:cs="Times New Roman"/>
          <w:color w:val="000000"/>
          <w:sz w:val="20"/>
          <w:szCs w:val="20"/>
        </w:rPr>
        <w:t xml:space="preserve">Fire fighting systems </w:t>
      </w:r>
      <w:r w:rsidR="00BB3E05">
        <w:rPr>
          <w:rFonts w:ascii="Times New Roman" w:hAnsi="Times New Roman" w:cs="Times New Roman"/>
          <w:color w:val="000000"/>
          <w:sz w:val="20"/>
          <w:szCs w:val="20"/>
        </w:rPr>
        <w:t>will</w:t>
      </w:r>
      <w:r w:rsidRPr="00362E82">
        <w:rPr>
          <w:rFonts w:ascii="Times New Roman" w:hAnsi="Times New Roman" w:cs="Times New Roman"/>
          <w:color w:val="000000"/>
          <w:sz w:val="20"/>
          <w:szCs w:val="20"/>
        </w:rPr>
        <w:t xml:space="preserve"> be provided</w:t>
      </w:r>
    </w:p>
    <w:p w:rsidR="00826100" w:rsidRPr="00362E82" w:rsidRDefault="00BB3E05" w:rsidP="00362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It will provide for a bicycle shed and p</w:t>
      </w:r>
      <w:r w:rsidR="00826100" w:rsidRPr="00362E82">
        <w:rPr>
          <w:rFonts w:ascii="Times New Roman" w:hAnsi="Times New Roman" w:cs="Times New Roman"/>
          <w:color w:val="000000"/>
          <w:sz w:val="20"/>
          <w:szCs w:val="20"/>
        </w:rPr>
        <w:t>rovide for sufficient space within the market to allow free</w:t>
      </w:r>
    </w:p>
    <w:p w:rsidR="00826100" w:rsidRPr="00362E82" w:rsidRDefault="00826100" w:rsidP="00362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2E82">
        <w:rPr>
          <w:rFonts w:ascii="Times New Roman" w:hAnsi="Times New Roman" w:cs="Times New Roman"/>
          <w:color w:val="000000"/>
          <w:sz w:val="20"/>
          <w:szCs w:val="20"/>
        </w:rPr>
        <w:t>movement</w:t>
      </w:r>
    </w:p>
    <w:p w:rsidR="00826100" w:rsidRPr="00362E82" w:rsidRDefault="00BB3E05" w:rsidP="00362E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It will p</w:t>
      </w:r>
      <w:r w:rsidR="00826100" w:rsidRPr="00362E82">
        <w:rPr>
          <w:rFonts w:ascii="Times New Roman" w:hAnsi="Times New Roman" w:cs="Times New Roman"/>
          <w:color w:val="000000"/>
          <w:sz w:val="20"/>
          <w:szCs w:val="20"/>
        </w:rPr>
        <w:t>rovide for sufficient power supply</w:t>
      </w:r>
    </w:p>
    <w:p w:rsidR="00BB3E05" w:rsidRDefault="00BB3E05" w:rsidP="00E7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100" w:rsidRPr="00362E82" w:rsidRDefault="00826100" w:rsidP="00E7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2E82">
        <w:rPr>
          <w:rFonts w:ascii="Times New Roman" w:hAnsi="Times New Roman" w:cs="Times New Roman"/>
          <w:b/>
          <w:bCs/>
          <w:sz w:val="20"/>
          <w:szCs w:val="20"/>
        </w:rPr>
        <w:t>Consumer projections</w:t>
      </w:r>
    </w:p>
    <w:p w:rsidR="00826100" w:rsidRPr="00362E82" w:rsidRDefault="00826100" w:rsidP="00E7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E82">
        <w:rPr>
          <w:rFonts w:ascii="Times New Roman" w:hAnsi="Times New Roman" w:cs="Times New Roman"/>
          <w:sz w:val="20"/>
          <w:szCs w:val="20"/>
        </w:rPr>
        <w:t>Current vendor population is 4316. The vendor population projections for a 15 year design</w:t>
      </w:r>
    </w:p>
    <w:p w:rsidR="00826100" w:rsidRPr="00362E82" w:rsidRDefault="00826100" w:rsidP="00BB3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2E82">
        <w:rPr>
          <w:rFonts w:ascii="Times New Roman" w:hAnsi="Times New Roman" w:cs="Times New Roman"/>
          <w:sz w:val="20"/>
          <w:szCs w:val="20"/>
        </w:rPr>
        <w:t>horizon</w:t>
      </w:r>
      <w:proofErr w:type="gramEnd"/>
      <w:r w:rsidRPr="00362E82">
        <w:rPr>
          <w:rFonts w:ascii="Times New Roman" w:hAnsi="Times New Roman" w:cs="Times New Roman"/>
          <w:sz w:val="20"/>
          <w:szCs w:val="20"/>
        </w:rPr>
        <w:t xml:space="preserve"> at 2.5% growth are outlined in Table 0-1 below:</w:t>
      </w:r>
    </w:p>
    <w:p w:rsidR="00826100" w:rsidRPr="00362E82" w:rsidRDefault="00826100" w:rsidP="00E7122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313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822"/>
        <w:gridCol w:w="1080"/>
        <w:gridCol w:w="1080"/>
        <w:gridCol w:w="1348"/>
        <w:gridCol w:w="1983"/>
      </w:tblGrid>
      <w:tr w:rsidR="00826100" w:rsidRPr="00362E8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083"/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Year </w:t>
            </w:r>
          </w:p>
        </w:tc>
        <w:tc>
          <w:tcPr>
            <w:tcW w:w="35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083"/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Number of vendors per outlet 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083"/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Total population </w:t>
            </w:r>
          </w:p>
        </w:tc>
      </w:tr>
      <w:tr w:rsidR="00826100" w:rsidRPr="00362E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Lock up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Stalls 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Pitches 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26100" w:rsidRPr="00362E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1,280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1,536 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1,874 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4690 </w:t>
            </w:r>
          </w:p>
        </w:tc>
      </w:tr>
      <w:tr w:rsidR="00826100" w:rsidRPr="00362E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1,378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1,654 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2,018 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5,050 </w:t>
            </w:r>
          </w:p>
        </w:tc>
      </w:tr>
      <w:tr w:rsidR="00826100" w:rsidRPr="00362E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1,448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1,738 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2,120 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5,306 </w:t>
            </w:r>
          </w:p>
        </w:tc>
      </w:tr>
      <w:tr w:rsidR="00826100" w:rsidRPr="00362E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1,639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1,966 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2,399 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6,004 </w:t>
            </w:r>
          </w:p>
        </w:tc>
      </w:tr>
      <w:tr w:rsidR="00826100" w:rsidRPr="00362E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1,854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2,225 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2,714 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6100" w:rsidRPr="00362E82" w:rsidRDefault="00826100" w:rsidP="00E712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E82">
              <w:rPr>
                <w:rFonts w:ascii="Times New Roman" w:hAnsi="Times New Roman" w:cs="Times New Roman"/>
                <w:sz w:val="20"/>
                <w:szCs w:val="20"/>
              </w:rPr>
              <w:t xml:space="preserve">6,793 </w:t>
            </w:r>
          </w:p>
        </w:tc>
      </w:tr>
    </w:tbl>
    <w:p w:rsidR="00826100" w:rsidRPr="00362E82" w:rsidRDefault="00826100" w:rsidP="00E712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6100" w:rsidRPr="00BB3E05" w:rsidRDefault="00826100" w:rsidP="00E7122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B3E05">
        <w:rPr>
          <w:rFonts w:ascii="Times New Roman" w:hAnsi="Times New Roman" w:cs="Times New Roman"/>
          <w:b/>
          <w:sz w:val="20"/>
          <w:szCs w:val="20"/>
        </w:rPr>
        <w:lastRenderedPageBreak/>
        <w:t>Vendor Population Projections</w:t>
      </w:r>
    </w:p>
    <w:p w:rsidR="00BB3E05" w:rsidRDefault="00BB3E05" w:rsidP="00BB3E05">
      <w:pPr>
        <w:pStyle w:val="Caption"/>
        <w:keepNext/>
        <w:jc w:val="both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 Estimated Vendor Population Growth</w:t>
      </w:r>
    </w:p>
    <w:p w:rsidR="00826100" w:rsidRPr="00362E82" w:rsidRDefault="00176FB8" w:rsidP="00E71224">
      <w:pPr>
        <w:jc w:val="both"/>
        <w:rPr>
          <w:rFonts w:ascii="Times New Roman" w:hAnsi="Times New Roman" w:cs="Times New Roman"/>
          <w:sz w:val="20"/>
          <w:szCs w:val="20"/>
        </w:rPr>
      </w:pPr>
      <w:r w:rsidRPr="00362E8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96D75" w:rsidRPr="00362E82" w:rsidRDefault="00C96D75" w:rsidP="00E7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E82">
        <w:rPr>
          <w:rFonts w:ascii="Times New Roman" w:hAnsi="Times New Roman" w:cs="Times New Roman"/>
          <w:sz w:val="20"/>
          <w:szCs w:val="20"/>
        </w:rPr>
        <w:t>The final design was selected after the initial schematic design presentation with the Ministry of</w:t>
      </w:r>
    </w:p>
    <w:p w:rsidR="00C96D75" w:rsidRPr="00362E82" w:rsidRDefault="00C96D75" w:rsidP="00E71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E82">
        <w:rPr>
          <w:rFonts w:ascii="Times New Roman" w:hAnsi="Times New Roman" w:cs="Times New Roman"/>
          <w:sz w:val="20"/>
          <w:szCs w:val="20"/>
        </w:rPr>
        <w:t>Local Government held on the 20th August 2010.</w:t>
      </w:r>
    </w:p>
    <w:p w:rsidR="00C96D75" w:rsidRPr="00362E82" w:rsidRDefault="00C96D75" w:rsidP="00E712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6D75" w:rsidRPr="00362E82" w:rsidRDefault="00C96D75" w:rsidP="00E7122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96D75" w:rsidRPr="00362E82" w:rsidSect="00B3534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1A7B"/>
    <w:multiLevelType w:val="hybridMultilevel"/>
    <w:tmpl w:val="0C98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9AF"/>
    <w:rsid w:val="00176FB8"/>
    <w:rsid w:val="00362E82"/>
    <w:rsid w:val="00567E60"/>
    <w:rsid w:val="007F59AF"/>
    <w:rsid w:val="00826100"/>
    <w:rsid w:val="00B3667A"/>
    <w:rsid w:val="00BB3E05"/>
    <w:rsid w:val="00C96D75"/>
    <w:rsid w:val="00E7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E8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B3E0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Vendor Population</c:v>
                </c:pt>
              </c:strCache>
            </c:strRef>
          </c:tx>
          <c:cat>
            <c:numRef>
              <c:f>Sheet1!$A$2:$A$7</c:f>
              <c:numCache>
                <c:formatCode>General</c:formatCode>
                <c:ptCount val="6"/>
                <c:pt idx="0">
                  <c:v>2009</c:v>
                </c:pt>
                <c:pt idx="1">
                  <c:v>2012</c:v>
                </c:pt>
                <c:pt idx="2">
                  <c:v>2015</c:v>
                </c:pt>
                <c:pt idx="3">
                  <c:v>2018</c:v>
                </c:pt>
                <c:pt idx="4">
                  <c:v>2022</c:v>
                </c:pt>
                <c:pt idx="5">
                  <c:v>2027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4316</c:v>
                </c:pt>
                <c:pt idx="1">
                  <c:v>4690</c:v>
                </c:pt>
                <c:pt idx="2">
                  <c:v>5050</c:v>
                </c:pt>
                <c:pt idx="3">
                  <c:v>5306</c:v>
                </c:pt>
                <c:pt idx="4">
                  <c:v>6004</c:v>
                </c:pt>
                <c:pt idx="5">
                  <c:v>6793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numRef>
              <c:f>Sheet1!$A$2:$A$7</c:f>
              <c:numCache>
                <c:formatCode>General</c:formatCode>
                <c:ptCount val="6"/>
                <c:pt idx="0">
                  <c:v>2009</c:v>
                </c:pt>
                <c:pt idx="1">
                  <c:v>2012</c:v>
                </c:pt>
                <c:pt idx="2">
                  <c:v>2015</c:v>
                </c:pt>
                <c:pt idx="3">
                  <c:v>2018</c:v>
                </c:pt>
                <c:pt idx="4">
                  <c:v>2022</c:v>
                </c:pt>
                <c:pt idx="5">
                  <c:v>2027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numRef>
              <c:f>Sheet1!$A$2:$A$7</c:f>
              <c:numCache>
                <c:formatCode>General</c:formatCode>
                <c:ptCount val="6"/>
                <c:pt idx="0">
                  <c:v>2009</c:v>
                </c:pt>
                <c:pt idx="1">
                  <c:v>2012</c:v>
                </c:pt>
                <c:pt idx="2">
                  <c:v>2015</c:v>
                </c:pt>
                <c:pt idx="3">
                  <c:v>2018</c:v>
                </c:pt>
                <c:pt idx="4">
                  <c:v>2022</c:v>
                </c:pt>
                <c:pt idx="5">
                  <c:v>2027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axId val="81805312"/>
        <c:axId val="81808000"/>
      </c:barChart>
      <c:catAx>
        <c:axId val="81805312"/>
        <c:scaling>
          <c:orientation val="minMax"/>
        </c:scaling>
        <c:axPos val="b"/>
        <c:numFmt formatCode="General" sourceLinked="1"/>
        <c:tickLblPos val="nextTo"/>
        <c:crossAx val="81808000"/>
        <c:crosses val="autoZero"/>
        <c:auto val="1"/>
        <c:lblAlgn val="ctr"/>
        <c:lblOffset val="100"/>
      </c:catAx>
      <c:valAx>
        <c:axId val="81808000"/>
        <c:scaling>
          <c:orientation val="minMax"/>
        </c:scaling>
        <c:axPos val="l"/>
        <c:majorGridlines/>
        <c:numFmt formatCode="General" sourceLinked="1"/>
        <c:tickLblPos val="nextTo"/>
        <c:crossAx val="8180531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Clovisik</dc:creator>
  <cp:lastModifiedBy>Clovisik</cp:lastModifiedBy>
  <cp:revision>1</cp:revision>
  <dcterms:created xsi:type="dcterms:W3CDTF">2012-05-29T18:15:00Z</dcterms:created>
  <dcterms:modified xsi:type="dcterms:W3CDTF">2012-05-29T20:51:00Z</dcterms:modified>
</cp:coreProperties>
</file>